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15" w:rsidRDefault="00B33615" w:rsidP="00DF0275">
      <w:pPr>
        <w:shd w:val="clear" w:color="auto" w:fill="FFFFFF"/>
        <w:contextualSpacing/>
        <w:rPr>
          <w:b/>
          <w:bCs/>
          <w:color w:val="333333"/>
          <w:sz w:val="28"/>
          <w:szCs w:val="28"/>
        </w:rPr>
      </w:pPr>
    </w:p>
    <w:p w:rsidR="008550D6" w:rsidRPr="008550D6" w:rsidRDefault="008550D6" w:rsidP="00E3033A">
      <w:pPr>
        <w:shd w:val="clear" w:color="auto" w:fill="FFFFFF"/>
        <w:contextualSpacing/>
        <w:jc w:val="center"/>
        <w:rPr>
          <w:b/>
          <w:bCs/>
          <w:color w:val="333333"/>
          <w:sz w:val="28"/>
          <w:szCs w:val="28"/>
        </w:rPr>
      </w:pPr>
      <w:r w:rsidRPr="008550D6">
        <w:rPr>
          <w:b/>
          <w:bCs/>
          <w:color w:val="333333"/>
          <w:sz w:val="28"/>
          <w:szCs w:val="28"/>
        </w:rPr>
        <w:t>Расторжение трудового договора в связи с появлением работника на работе в состоянии алкогольного опьянения</w:t>
      </w:r>
    </w:p>
    <w:p w:rsidR="008550D6" w:rsidRDefault="008550D6" w:rsidP="008550D6">
      <w:pPr>
        <w:shd w:val="clear" w:color="auto" w:fill="FFFFFF"/>
        <w:ind w:firstLine="708"/>
        <w:contextualSpacing/>
        <w:jc w:val="both"/>
        <w:rPr>
          <w:color w:val="FFFFFF"/>
          <w:sz w:val="28"/>
          <w:szCs w:val="28"/>
        </w:rPr>
      </w:pP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«б» п</w:t>
      </w:r>
      <w:r>
        <w:rPr>
          <w:color w:val="333333"/>
          <w:sz w:val="28"/>
          <w:szCs w:val="28"/>
          <w:shd w:val="clear" w:color="auto" w:fill="FFFFFF"/>
        </w:rPr>
        <w:t>.</w:t>
      </w:r>
      <w:r w:rsidRPr="008550D6">
        <w:rPr>
          <w:color w:val="333333"/>
          <w:sz w:val="28"/>
          <w:szCs w:val="28"/>
          <w:shd w:val="clear" w:color="auto" w:fill="FFFFFF"/>
        </w:rPr>
        <w:t xml:space="preserve"> 6 ч</w:t>
      </w:r>
      <w:r>
        <w:rPr>
          <w:color w:val="333333"/>
          <w:sz w:val="28"/>
          <w:szCs w:val="28"/>
          <w:shd w:val="clear" w:color="auto" w:fill="FFFFFF"/>
        </w:rPr>
        <w:t>.</w:t>
      </w:r>
      <w:r w:rsidRPr="008550D6">
        <w:rPr>
          <w:color w:val="333333"/>
          <w:sz w:val="28"/>
          <w:szCs w:val="28"/>
          <w:shd w:val="clear" w:color="auto" w:fill="FFFFFF"/>
        </w:rPr>
        <w:t xml:space="preserve"> 1 ст</w:t>
      </w:r>
      <w:r>
        <w:rPr>
          <w:color w:val="333333"/>
          <w:sz w:val="28"/>
          <w:szCs w:val="28"/>
          <w:shd w:val="clear" w:color="auto" w:fill="FFFFFF"/>
        </w:rPr>
        <w:t>.</w:t>
      </w:r>
      <w:r w:rsidRPr="008550D6">
        <w:rPr>
          <w:color w:val="333333"/>
          <w:sz w:val="28"/>
          <w:szCs w:val="28"/>
          <w:shd w:val="clear" w:color="auto" w:fill="FFFFFF"/>
        </w:rPr>
        <w:t xml:space="preserve"> 81 Т</w:t>
      </w:r>
      <w:r>
        <w:rPr>
          <w:color w:val="333333"/>
          <w:sz w:val="28"/>
          <w:szCs w:val="28"/>
          <w:shd w:val="clear" w:color="auto" w:fill="FFFFFF"/>
        </w:rPr>
        <w:t>К</w:t>
      </w:r>
      <w:r w:rsidRPr="008550D6">
        <w:rPr>
          <w:color w:val="333333"/>
          <w:sz w:val="28"/>
          <w:szCs w:val="28"/>
          <w:shd w:val="clear" w:color="auto" w:fill="FFFFFF"/>
        </w:rPr>
        <w:t xml:space="preserve"> РФ.</w:t>
      </w:r>
    </w:p>
    <w:p w:rsidR="008550D6" w:rsidRPr="008550D6" w:rsidRDefault="008550D6" w:rsidP="008550D6">
      <w:pPr>
        <w:shd w:val="clear" w:color="auto" w:fill="FFFFFF"/>
        <w:ind w:firstLine="708"/>
        <w:contextualSpacing/>
        <w:jc w:val="both"/>
        <w:rPr>
          <w:color w:val="333333"/>
          <w:sz w:val="28"/>
          <w:szCs w:val="28"/>
        </w:rPr>
      </w:pPr>
      <w:r>
        <w:rPr>
          <w:color w:val="333333"/>
          <w:sz w:val="28"/>
          <w:szCs w:val="28"/>
          <w:shd w:val="clear" w:color="auto" w:fill="FFFFFF"/>
        </w:rPr>
        <w:t>П</w:t>
      </w:r>
      <w:r w:rsidRPr="008550D6">
        <w:rPr>
          <w:color w:val="333333"/>
          <w:sz w:val="28"/>
          <w:szCs w:val="28"/>
          <w:shd w:val="clear" w:color="auto" w:fill="FFFFFF"/>
        </w:rPr>
        <w:t xml:space="preserve">равовое значение имеет нахождение работника в состоянии опьянения в рабочее время. Так, например, работодатель не вправе уволить по подпункту «б» пункта 6 части 1 статьи 81 ТК РФ работника, который появился на работе в нетрезвом виде во время отпуска или </w:t>
      </w:r>
      <w:proofErr w:type="spellStart"/>
      <w:r w:rsidRPr="008550D6">
        <w:rPr>
          <w:color w:val="333333"/>
          <w:sz w:val="28"/>
          <w:szCs w:val="28"/>
          <w:shd w:val="clear" w:color="auto" w:fill="FFFFFF"/>
        </w:rPr>
        <w:t>междувахтового</w:t>
      </w:r>
      <w:proofErr w:type="spellEnd"/>
      <w:r w:rsidRPr="008550D6">
        <w:rPr>
          <w:color w:val="333333"/>
          <w:sz w:val="28"/>
          <w:szCs w:val="28"/>
          <w:shd w:val="clear" w:color="auto" w:fill="FFFFFF"/>
        </w:rPr>
        <w:t xml:space="preserve"> отдыха.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Согласно части 1 статьи 76 ТК РФ работодатель обязан отстранить от работы либо не допускать к работе работника, появившегося на работе в состоянии алкогольного опьянения.</w:t>
      </w:r>
      <w:r w:rsidRPr="008550D6">
        <w:rPr>
          <w:color w:val="333333"/>
          <w:sz w:val="28"/>
          <w:szCs w:val="28"/>
        </w:rPr>
        <w:t> </w:t>
      </w:r>
      <w:r w:rsidRPr="008550D6">
        <w:rPr>
          <w:color w:val="333333"/>
          <w:sz w:val="28"/>
          <w:szCs w:val="28"/>
          <w:shd w:val="clear" w:color="auto" w:fill="FFFFFF"/>
        </w:rPr>
        <w:t>Вместе с тем невыполнение работодателем по различным причинам указанной обязанности не является препятствием для увольнения работника.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Нетрезвое состояние работника подтверждается медицинским заключением,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по медицинскому освидетельствованию на состояние опьянения.</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В случае невозможности проведения освидетельствования, в том числе отказа работника от его прохождения, нахождение лица в состоянии алкогольного опьянения может подтверждаться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В случае обжалования работником законности увольнения в судебном порядке показания свидетелей являются допустимыми доказательствами.</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Поскольку увольнение по данному основанию является увольнением по инициативе работодателя, то бремя доказывания законности увольнения, в том числе факта нахождения работника на работе в состоянии алкогольного опьянения, лежит на работодателе.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 xml:space="preserve">Поскольку факт появления работника на работе в состоянии опьянения может фиксироваться по его внешним проявлениям, то критериями, при наличии хотя бы одного из которых имеются достаточные основания полагать, что лицо находится в состоянии опьянения, являются запах </w:t>
      </w:r>
      <w:r w:rsidRPr="008550D6">
        <w:rPr>
          <w:color w:val="333333"/>
          <w:sz w:val="28"/>
          <w:szCs w:val="28"/>
          <w:shd w:val="clear" w:color="auto" w:fill="FFFFFF"/>
        </w:rPr>
        <w:lastRenderedPageBreak/>
        <w:t>алкоголя изо рта; неустойчивость позы и шаткость походки; нарушение речи; резкое изменение окраски кожных покровов лица.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Учитывая, что увольнение работника при таких обстоятельствах является дисциплинарным взысканием, оно должно быть проведено с соблюдением положений статей 192,193 ТК РФ. А именно, работодатель должен учесть тяжесть совершенного проступка и обстоятельства, при которых он был совершен.</w:t>
      </w:r>
      <w:r w:rsidRPr="008550D6">
        <w:rPr>
          <w:color w:val="333333"/>
          <w:sz w:val="28"/>
          <w:szCs w:val="28"/>
        </w:rPr>
        <w:t> </w:t>
      </w:r>
      <w:r w:rsidRPr="008550D6">
        <w:rPr>
          <w:color w:val="333333"/>
          <w:sz w:val="28"/>
          <w:szCs w:val="28"/>
          <w:shd w:val="clear" w:color="auto" w:fill="FFFFFF"/>
        </w:rPr>
        <w:t>До наложения дисциплинарного взыскания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Кроме того, согласно ч</w:t>
      </w:r>
      <w:r>
        <w:rPr>
          <w:color w:val="333333"/>
          <w:sz w:val="28"/>
          <w:szCs w:val="28"/>
          <w:shd w:val="clear" w:color="auto" w:fill="FFFFFF"/>
        </w:rPr>
        <w:t>.</w:t>
      </w:r>
      <w:r w:rsidRPr="008550D6">
        <w:rPr>
          <w:color w:val="333333"/>
          <w:sz w:val="28"/>
          <w:szCs w:val="28"/>
          <w:shd w:val="clear" w:color="auto" w:fill="FFFFFF"/>
        </w:rPr>
        <w:t xml:space="preserve"> 6 ст</w:t>
      </w:r>
      <w:r>
        <w:rPr>
          <w:color w:val="333333"/>
          <w:sz w:val="28"/>
          <w:szCs w:val="28"/>
          <w:shd w:val="clear" w:color="auto" w:fill="FFFFFF"/>
        </w:rPr>
        <w:t>.</w:t>
      </w:r>
      <w:bookmarkStart w:id="0" w:name="_GoBack"/>
      <w:bookmarkEnd w:id="0"/>
      <w:r w:rsidRPr="008550D6">
        <w:rPr>
          <w:color w:val="333333"/>
          <w:sz w:val="28"/>
          <w:szCs w:val="28"/>
          <w:shd w:val="clear" w:color="auto" w:fill="FFFFFF"/>
        </w:rPr>
        <w:t xml:space="preserve"> 81 ТК РФ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p>
    <w:p w:rsidR="00DF0275" w:rsidRDefault="00DF0275" w:rsidP="00DF0275">
      <w:pPr>
        <w:shd w:val="clear" w:color="auto" w:fill="FFFFFF"/>
        <w:ind w:firstLine="708"/>
        <w:contextualSpacing/>
        <w:jc w:val="both"/>
        <w:rPr>
          <w:rFonts w:ascii="Roboto" w:hAnsi="Roboto"/>
          <w:color w:val="333333"/>
        </w:rPr>
      </w:pPr>
    </w:p>
    <w:p w:rsidR="00B33615" w:rsidRDefault="00B33615" w:rsidP="00DF0275">
      <w:pPr>
        <w:shd w:val="clear" w:color="auto" w:fill="FFFFFF"/>
        <w:ind w:firstLine="708"/>
        <w:contextualSpacing/>
        <w:jc w:val="both"/>
        <w:rPr>
          <w:rFonts w:ascii="Roboto" w:hAnsi="Roboto"/>
          <w:color w:val="333333"/>
        </w:rPr>
      </w:pPr>
    </w:p>
    <w:p w:rsidR="000B41FE" w:rsidRDefault="008550D6" w:rsidP="00E84F05">
      <w:pPr>
        <w:autoSpaceDE w:val="0"/>
        <w:autoSpaceDN w:val="0"/>
        <w:adjustRightInd w:val="0"/>
        <w:spacing w:line="240" w:lineRule="exact"/>
        <w:rPr>
          <w:sz w:val="28"/>
          <w:szCs w:val="28"/>
        </w:rPr>
      </w:pPr>
      <w:r>
        <w:rPr>
          <w:sz w:val="28"/>
          <w:szCs w:val="28"/>
        </w:rPr>
        <w:t>И.о.</w:t>
      </w:r>
      <w:r w:rsidR="000B41FE">
        <w:rPr>
          <w:sz w:val="28"/>
          <w:szCs w:val="28"/>
        </w:rPr>
        <w:t xml:space="preserve"> прокурора района</w:t>
      </w:r>
    </w:p>
    <w:p w:rsidR="00B33615" w:rsidRDefault="00B33615"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DF0275">
      <w:pgSz w:w="11906" w:h="16838" w:code="9"/>
      <w:pgMar w:top="1134" w:right="850" w:bottom="709"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CF81C47"/>
    <w:multiLevelType w:val="multilevel"/>
    <w:tmpl w:val="959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25A70"/>
    <w:rsid w:val="00034704"/>
    <w:rsid w:val="000349E3"/>
    <w:rsid w:val="00034F87"/>
    <w:rsid w:val="000357BE"/>
    <w:rsid w:val="00037982"/>
    <w:rsid w:val="00040C57"/>
    <w:rsid w:val="00041A4F"/>
    <w:rsid w:val="00044D40"/>
    <w:rsid w:val="0004599A"/>
    <w:rsid w:val="00054667"/>
    <w:rsid w:val="00056721"/>
    <w:rsid w:val="00056957"/>
    <w:rsid w:val="00063181"/>
    <w:rsid w:val="00073CE0"/>
    <w:rsid w:val="000743E6"/>
    <w:rsid w:val="00080A05"/>
    <w:rsid w:val="00081D4B"/>
    <w:rsid w:val="000A3E39"/>
    <w:rsid w:val="000A7617"/>
    <w:rsid w:val="000B1BD0"/>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332"/>
    <w:rsid w:val="00161517"/>
    <w:rsid w:val="00164D6D"/>
    <w:rsid w:val="0016568C"/>
    <w:rsid w:val="00165A72"/>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861C1"/>
    <w:rsid w:val="002A009E"/>
    <w:rsid w:val="002A0279"/>
    <w:rsid w:val="002A0C57"/>
    <w:rsid w:val="002A2FF7"/>
    <w:rsid w:val="002A3CD3"/>
    <w:rsid w:val="002A64A3"/>
    <w:rsid w:val="002B4686"/>
    <w:rsid w:val="002B4E54"/>
    <w:rsid w:val="002C703A"/>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61066"/>
    <w:rsid w:val="00390384"/>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4B4"/>
    <w:rsid w:val="004C6E48"/>
    <w:rsid w:val="004C7582"/>
    <w:rsid w:val="004D0392"/>
    <w:rsid w:val="004D0C02"/>
    <w:rsid w:val="004D193A"/>
    <w:rsid w:val="004D1AC9"/>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682"/>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5AA7"/>
    <w:rsid w:val="00736713"/>
    <w:rsid w:val="0075322E"/>
    <w:rsid w:val="00757C39"/>
    <w:rsid w:val="00760CD6"/>
    <w:rsid w:val="0076186A"/>
    <w:rsid w:val="00763CD2"/>
    <w:rsid w:val="00770259"/>
    <w:rsid w:val="007708A3"/>
    <w:rsid w:val="00776C74"/>
    <w:rsid w:val="007811D9"/>
    <w:rsid w:val="00785894"/>
    <w:rsid w:val="00787FAC"/>
    <w:rsid w:val="00793E6F"/>
    <w:rsid w:val="007A421D"/>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550D6"/>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2CA6"/>
    <w:rsid w:val="00B17757"/>
    <w:rsid w:val="00B21E4A"/>
    <w:rsid w:val="00B23468"/>
    <w:rsid w:val="00B24F9B"/>
    <w:rsid w:val="00B32A8B"/>
    <w:rsid w:val="00B33615"/>
    <w:rsid w:val="00B42C5E"/>
    <w:rsid w:val="00B4693A"/>
    <w:rsid w:val="00B65F9B"/>
    <w:rsid w:val="00B726E4"/>
    <w:rsid w:val="00B809AD"/>
    <w:rsid w:val="00B856F4"/>
    <w:rsid w:val="00B865DB"/>
    <w:rsid w:val="00B87104"/>
    <w:rsid w:val="00B93D0B"/>
    <w:rsid w:val="00B96A77"/>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C63E5"/>
    <w:rsid w:val="00CD3E5A"/>
    <w:rsid w:val="00CD5371"/>
    <w:rsid w:val="00CD6DD4"/>
    <w:rsid w:val="00CD73AE"/>
    <w:rsid w:val="00CE0F4A"/>
    <w:rsid w:val="00CE1056"/>
    <w:rsid w:val="00CF686A"/>
    <w:rsid w:val="00CF7AB1"/>
    <w:rsid w:val="00D03B09"/>
    <w:rsid w:val="00D05FDC"/>
    <w:rsid w:val="00D06C4A"/>
    <w:rsid w:val="00D13CA1"/>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2555"/>
    <w:rsid w:val="00DC75C0"/>
    <w:rsid w:val="00DD31AA"/>
    <w:rsid w:val="00DD3606"/>
    <w:rsid w:val="00DD3DB4"/>
    <w:rsid w:val="00DD4082"/>
    <w:rsid w:val="00DD6178"/>
    <w:rsid w:val="00DF0275"/>
    <w:rsid w:val="00DF11F5"/>
    <w:rsid w:val="00DF19D5"/>
    <w:rsid w:val="00DF4D23"/>
    <w:rsid w:val="00DF61DA"/>
    <w:rsid w:val="00E06ECF"/>
    <w:rsid w:val="00E106A6"/>
    <w:rsid w:val="00E215D3"/>
    <w:rsid w:val="00E2325F"/>
    <w:rsid w:val="00E3033A"/>
    <w:rsid w:val="00E31332"/>
    <w:rsid w:val="00E5162A"/>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249431632">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617444718">
      <w:bodyDiv w:val="1"/>
      <w:marLeft w:val="0"/>
      <w:marRight w:val="0"/>
      <w:marTop w:val="0"/>
      <w:marBottom w:val="0"/>
      <w:divBdr>
        <w:top w:val="none" w:sz="0" w:space="0" w:color="auto"/>
        <w:left w:val="none" w:sz="0" w:space="0" w:color="auto"/>
        <w:bottom w:val="none" w:sz="0" w:space="0" w:color="auto"/>
        <w:right w:val="none" w:sz="0" w:space="0" w:color="auto"/>
      </w:divBdr>
    </w:div>
    <w:div w:id="1743913974">
      <w:bodyDiv w:val="1"/>
      <w:marLeft w:val="0"/>
      <w:marRight w:val="0"/>
      <w:marTop w:val="0"/>
      <w:marBottom w:val="0"/>
      <w:divBdr>
        <w:top w:val="none" w:sz="0" w:space="0" w:color="auto"/>
        <w:left w:val="none" w:sz="0" w:space="0" w:color="auto"/>
        <w:bottom w:val="none" w:sz="0" w:space="0" w:color="auto"/>
        <w:right w:val="none" w:sz="0" w:space="0" w:color="auto"/>
      </w:divBdr>
    </w:div>
    <w:div w:id="20481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Азм</cp:lastModifiedBy>
  <cp:revision>4</cp:revision>
  <cp:lastPrinted>2021-03-12T09:36:00Z</cp:lastPrinted>
  <dcterms:created xsi:type="dcterms:W3CDTF">2021-04-27T16:53:00Z</dcterms:created>
  <dcterms:modified xsi:type="dcterms:W3CDTF">2021-04-29T02:40:00Z</dcterms:modified>
</cp:coreProperties>
</file>